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0DED" w14:textId="202F1661" w:rsidR="003836BE" w:rsidRPr="003836BE" w:rsidRDefault="003836BE" w:rsidP="00D942DD">
      <w:pPr>
        <w:snapToGrid w:val="0"/>
        <w:spacing w:line="360" w:lineRule="auto"/>
        <w:ind w:firstLineChars="200" w:firstLine="442"/>
        <w:rPr>
          <w:rFonts w:ascii="宋体" w:eastAsia="宋体" w:hAnsi="宋体" w:cs="Times New Roman"/>
          <w:b/>
          <w:bCs/>
          <w:sz w:val="22"/>
        </w:rPr>
      </w:pPr>
      <w:bookmarkStart w:id="0" w:name="_Hlk89171939"/>
      <w:bookmarkStart w:id="1" w:name="_Hlk89172116"/>
      <w:r w:rsidRPr="003836BE">
        <w:rPr>
          <w:rFonts w:ascii="宋体" w:eastAsia="宋体" w:hAnsi="宋体" w:cs="Times New Roman" w:hint="eastAsia"/>
          <w:b/>
          <w:bCs/>
          <w:sz w:val="22"/>
        </w:rPr>
        <w:t>专家简介：</w:t>
      </w:r>
    </w:p>
    <w:p w14:paraId="3A48F554" w14:textId="13E13BB7" w:rsidR="00D942DD" w:rsidRDefault="00D942DD" w:rsidP="00D942DD">
      <w:pPr>
        <w:snapToGrid w:val="0"/>
        <w:spacing w:line="360" w:lineRule="auto"/>
        <w:ind w:firstLineChars="200" w:firstLine="440"/>
        <w:rPr>
          <w:rFonts w:ascii="宋体" w:eastAsia="宋体" w:hAnsi="宋体" w:cs="Times New Roman"/>
          <w:sz w:val="22"/>
        </w:rPr>
      </w:pPr>
      <w:r w:rsidRPr="009A686B">
        <w:rPr>
          <w:rFonts w:ascii="宋体" w:eastAsia="宋体" w:hAnsi="宋体" w:cs="Times New Roman" w:hint="eastAsia"/>
          <w:sz w:val="22"/>
        </w:rPr>
        <w:t>赵华，</w:t>
      </w:r>
      <w:r w:rsidR="00182B03">
        <w:rPr>
          <w:rFonts w:ascii="宋体" w:eastAsia="宋体" w:hAnsi="宋体" w:cs="Times New Roman" w:hint="eastAsia"/>
          <w:sz w:val="22"/>
        </w:rPr>
        <w:t>高级工程师，</w:t>
      </w:r>
      <w:r>
        <w:rPr>
          <w:rFonts w:ascii="宋体" w:eastAsia="宋体" w:hAnsi="宋体" w:cs="Times New Roman" w:hint="eastAsia"/>
          <w:sz w:val="22"/>
        </w:rPr>
        <w:t>机械工业仪器仪表综合技术经济研究所</w:t>
      </w:r>
      <w:r w:rsidR="005C7932">
        <w:rPr>
          <w:rFonts w:ascii="宋体" w:eastAsia="宋体" w:hAnsi="宋体" w:cs="Times New Roman" w:hint="eastAsia"/>
          <w:sz w:val="22"/>
        </w:rPr>
        <w:t>数据应用</w:t>
      </w:r>
      <w:r>
        <w:rPr>
          <w:rFonts w:ascii="宋体" w:eastAsia="宋体" w:hAnsi="宋体" w:cs="Times New Roman" w:hint="eastAsia"/>
          <w:sz w:val="22"/>
        </w:rPr>
        <w:t>研究室主任</w:t>
      </w:r>
      <w:r w:rsidRPr="009A686B">
        <w:rPr>
          <w:rFonts w:ascii="宋体" w:eastAsia="宋体" w:hAnsi="宋体" w:cs="Times New Roman"/>
          <w:sz w:val="22"/>
        </w:rPr>
        <w:t>，</w:t>
      </w:r>
      <w:r w:rsidR="00182B03">
        <w:rPr>
          <w:rFonts w:ascii="宋体" w:eastAsia="宋体" w:hAnsi="宋体" w:cs="Times New Roman" w:hint="eastAsia"/>
          <w:sz w:val="22"/>
        </w:rPr>
        <w:t>硕士研究生，</w:t>
      </w:r>
      <w:r w:rsidRPr="00EF75FE">
        <w:rPr>
          <w:rFonts w:ascii="宋体" w:eastAsia="宋体" w:hAnsi="宋体" w:cs="Times New Roman" w:hint="eastAsia"/>
          <w:sz w:val="22"/>
        </w:rPr>
        <w:t>国际电工委员会</w:t>
      </w:r>
      <w:r w:rsidRPr="00EF75FE">
        <w:rPr>
          <w:rFonts w:ascii="宋体" w:eastAsia="宋体" w:hAnsi="宋体" w:cs="Times New Roman"/>
          <w:sz w:val="22"/>
        </w:rPr>
        <w:t>IEC/TC65/AHG4（属性）、SC65E/WG2（产品属性与分类）和SC65E/AHG1（智能制造信息模型）工作组中</w:t>
      </w:r>
      <w:r>
        <w:rPr>
          <w:rFonts w:ascii="宋体" w:eastAsia="宋体" w:hAnsi="宋体" w:cs="Times New Roman" w:hint="eastAsia"/>
          <w:sz w:val="22"/>
        </w:rPr>
        <w:t>国</w:t>
      </w:r>
      <w:r w:rsidRPr="00EF75FE">
        <w:rPr>
          <w:rFonts w:ascii="宋体" w:eastAsia="宋体" w:hAnsi="宋体" w:cs="Times New Roman"/>
          <w:sz w:val="22"/>
        </w:rPr>
        <w:t>专家</w:t>
      </w:r>
      <w:r>
        <w:rPr>
          <w:rFonts w:ascii="宋体" w:eastAsia="宋体" w:hAnsi="宋体" w:cs="Times New Roman" w:hint="eastAsia"/>
          <w:sz w:val="22"/>
        </w:rPr>
        <w:t>。</w:t>
      </w:r>
      <w:r w:rsidRPr="009A686B">
        <w:rPr>
          <w:rFonts w:ascii="宋体" w:eastAsia="宋体" w:hAnsi="宋体" w:cs="Times New Roman"/>
          <w:sz w:val="22"/>
        </w:rPr>
        <w:t>主要从事智能制造语义</w:t>
      </w:r>
      <w:r>
        <w:rPr>
          <w:rFonts w:ascii="宋体" w:eastAsia="宋体" w:hAnsi="宋体" w:cs="Times New Roman" w:hint="eastAsia"/>
          <w:sz w:val="22"/>
        </w:rPr>
        <w:t>建模、</w:t>
      </w:r>
      <w:r w:rsidRPr="009A686B">
        <w:rPr>
          <w:rFonts w:ascii="宋体" w:eastAsia="宋体" w:hAnsi="宋体" w:cs="Times New Roman"/>
          <w:sz w:val="22"/>
        </w:rPr>
        <w:t>集成交互技术研究</w:t>
      </w:r>
      <w:r>
        <w:rPr>
          <w:rFonts w:ascii="宋体" w:eastAsia="宋体" w:hAnsi="宋体" w:cs="Times New Roman" w:hint="eastAsia"/>
          <w:sz w:val="22"/>
        </w:rPr>
        <w:t>，工作内容包括智能制造、工业互联网、装备数字化领域的关键技术研究、系统平台研制开发与标准制定等。主持或参与工信部智能制造专项5项，工信部工业互联网创新发展工程</w:t>
      </w:r>
      <w:r w:rsidR="00182B03">
        <w:rPr>
          <w:rFonts w:ascii="宋体" w:eastAsia="宋体" w:hAnsi="宋体" w:cs="Times New Roman"/>
          <w:sz w:val="22"/>
        </w:rPr>
        <w:t>10</w:t>
      </w:r>
      <w:r w:rsidR="00182B03">
        <w:rPr>
          <w:rFonts w:ascii="宋体" w:eastAsia="宋体" w:hAnsi="宋体" w:cs="Times New Roman" w:hint="eastAsia"/>
          <w:sz w:val="22"/>
        </w:rPr>
        <w:t>余</w:t>
      </w:r>
      <w:r>
        <w:rPr>
          <w:rFonts w:ascii="宋体" w:eastAsia="宋体" w:hAnsi="宋体" w:cs="Times New Roman" w:hint="eastAsia"/>
          <w:sz w:val="22"/>
        </w:rPr>
        <w:t>项，</w:t>
      </w:r>
      <w:r w:rsidRPr="00D942DD">
        <w:rPr>
          <w:rFonts w:ascii="宋体" w:eastAsia="宋体" w:hAnsi="宋体" w:cs="Times New Roman" w:hint="eastAsia"/>
          <w:sz w:val="22"/>
        </w:rPr>
        <w:t>科技部国家重点研发计划</w:t>
      </w:r>
      <w:r w:rsidR="00182B03">
        <w:rPr>
          <w:rFonts w:ascii="宋体" w:eastAsia="宋体" w:hAnsi="宋体" w:cs="Times New Roman"/>
          <w:sz w:val="22"/>
        </w:rPr>
        <w:t>6</w:t>
      </w:r>
      <w:r w:rsidRPr="00D942DD">
        <w:rPr>
          <w:rFonts w:ascii="宋体" w:eastAsia="宋体" w:hAnsi="宋体" w:cs="Times New Roman"/>
          <w:sz w:val="22"/>
        </w:rPr>
        <w:t>项</w:t>
      </w:r>
      <w:r>
        <w:rPr>
          <w:rFonts w:ascii="宋体" w:eastAsia="宋体" w:hAnsi="宋体" w:cs="Times New Roman" w:hint="eastAsia"/>
          <w:sz w:val="22"/>
        </w:rPr>
        <w:t>。</w:t>
      </w:r>
      <w:r w:rsidRPr="00D942DD">
        <w:rPr>
          <w:rFonts w:ascii="宋体" w:eastAsia="宋体" w:hAnsi="宋体" w:cs="Times New Roman" w:hint="eastAsia"/>
          <w:sz w:val="22"/>
        </w:rPr>
        <w:t>参与工信部、北京市、天津市等国家和省部级的智能制造相关产业政策研究，开展数十家企业智能制造能力和工业互联网能力诊断评断工作。</w:t>
      </w:r>
      <w:r w:rsidRPr="004A167D">
        <w:rPr>
          <w:rFonts w:ascii="宋体" w:eastAsia="宋体" w:hAnsi="宋体" w:cs="Times New Roman"/>
          <w:sz w:val="22"/>
        </w:rPr>
        <w:t>以第一起草人制定国家标准2项，参与制定国家标准5项，</w:t>
      </w:r>
      <w:r w:rsidRPr="00D942DD">
        <w:rPr>
          <w:rFonts w:ascii="宋体" w:eastAsia="宋体" w:hAnsi="宋体" w:cs="Times New Roman" w:hint="eastAsia"/>
          <w:sz w:val="22"/>
        </w:rPr>
        <w:t>编制工业互联网和智能制造相关标准</w:t>
      </w:r>
      <w:r w:rsidRPr="00D942DD">
        <w:rPr>
          <w:rFonts w:ascii="宋体" w:eastAsia="宋体" w:hAnsi="宋体" w:cs="Times New Roman"/>
          <w:sz w:val="22"/>
        </w:rPr>
        <w:t>20余项</w:t>
      </w:r>
      <w:r>
        <w:rPr>
          <w:rFonts w:ascii="宋体" w:eastAsia="宋体" w:hAnsi="宋体" w:cs="Times New Roman" w:hint="eastAsia"/>
          <w:sz w:val="22"/>
        </w:rPr>
        <w:t>，</w:t>
      </w:r>
      <w:r w:rsidRPr="004A167D">
        <w:rPr>
          <w:rFonts w:ascii="宋体" w:eastAsia="宋体" w:hAnsi="宋体" w:cs="Times New Roman"/>
          <w:sz w:val="22"/>
        </w:rPr>
        <w:t>发表论文15篇</w:t>
      </w:r>
      <w:r>
        <w:rPr>
          <w:rFonts w:ascii="宋体" w:eastAsia="宋体" w:hAnsi="宋体" w:cs="Times New Roman" w:hint="eastAsia"/>
          <w:sz w:val="22"/>
        </w:rPr>
        <w:t>，</w:t>
      </w:r>
      <w:r w:rsidRPr="004A167D">
        <w:rPr>
          <w:rFonts w:ascii="宋体" w:eastAsia="宋体" w:hAnsi="宋体" w:cs="Times New Roman"/>
          <w:sz w:val="22"/>
        </w:rPr>
        <w:t>合作出版1本专著</w:t>
      </w:r>
      <w:r>
        <w:rPr>
          <w:rFonts w:ascii="宋体" w:eastAsia="宋体" w:hAnsi="宋体" w:cs="Times New Roman" w:hint="eastAsia"/>
          <w:sz w:val="22"/>
        </w:rPr>
        <w:t>，</w:t>
      </w:r>
      <w:r w:rsidRPr="00D942DD">
        <w:rPr>
          <w:rFonts w:ascii="宋体" w:eastAsia="宋体" w:hAnsi="宋体" w:cs="Times New Roman" w:hint="eastAsia"/>
          <w:sz w:val="22"/>
        </w:rPr>
        <w:t>申请发明专利和软件著作权</w:t>
      </w:r>
      <w:r w:rsidR="00182B03">
        <w:rPr>
          <w:rFonts w:ascii="宋体" w:eastAsia="宋体" w:hAnsi="宋体" w:cs="Times New Roman" w:hint="eastAsia"/>
          <w:sz w:val="22"/>
        </w:rPr>
        <w:t>1</w:t>
      </w:r>
      <w:r w:rsidR="00182B03">
        <w:rPr>
          <w:rFonts w:ascii="宋体" w:eastAsia="宋体" w:hAnsi="宋体" w:cs="Times New Roman"/>
          <w:sz w:val="22"/>
        </w:rPr>
        <w:t>5</w:t>
      </w:r>
      <w:r w:rsidRPr="00D942DD">
        <w:rPr>
          <w:rFonts w:ascii="宋体" w:eastAsia="宋体" w:hAnsi="宋体" w:cs="Times New Roman" w:hint="eastAsia"/>
          <w:sz w:val="22"/>
        </w:rPr>
        <w:t>项</w:t>
      </w:r>
      <w:r>
        <w:rPr>
          <w:rFonts w:ascii="宋体" w:eastAsia="宋体" w:hAnsi="宋体" w:cs="Times New Roman" w:hint="eastAsia"/>
          <w:sz w:val="22"/>
        </w:rPr>
        <w:t>，获得天津市科技进步奖二等奖1项，中国机械工业科学技术奖二等奖1项。</w:t>
      </w:r>
      <w:bookmarkEnd w:id="0"/>
    </w:p>
    <w:p w14:paraId="722564E6" w14:textId="595FD767" w:rsidR="003836BE" w:rsidRPr="003836BE" w:rsidRDefault="003836BE" w:rsidP="00D942DD">
      <w:pPr>
        <w:snapToGrid w:val="0"/>
        <w:spacing w:line="360" w:lineRule="auto"/>
        <w:ind w:firstLineChars="200" w:firstLine="442"/>
        <w:rPr>
          <w:rFonts w:ascii="宋体" w:eastAsia="宋体" w:hAnsi="宋体" w:cs="Times New Roman"/>
          <w:b/>
          <w:bCs/>
          <w:sz w:val="22"/>
        </w:rPr>
      </w:pPr>
      <w:r w:rsidRPr="003836BE">
        <w:rPr>
          <w:rFonts w:ascii="宋体" w:eastAsia="宋体" w:hAnsi="宋体" w:cs="Times New Roman" w:hint="eastAsia"/>
          <w:b/>
          <w:bCs/>
          <w:sz w:val="22"/>
        </w:rPr>
        <w:t>照片：</w:t>
      </w:r>
    </w:p>
    <w:bookmarkEnd w:id="1"/>
    <w:p w14:paraId="1C62AF46" w14:textId="67427D40" w:rsidR="00EA1CC2" w:rsidRDefault="00182B03">
      <w:r w:rsidRPr="00182B03">
        <w:rPr>
          <w:noProof/>
        </w:rPr>
        <w:lastRenderedPageBreak/>
        <w:drawing>
          <wp:inline distT="0" distB="0" distL="0" distR="0" wp14:anchorId="02A7102C" wp14:editId="52899447">
            <wp:extent cx="5274310" cy="61474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4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8AB54" w14:textId="680ED852" w:rsidR="003836BE" w:rsidRPr="00D942DD" w:rsidRDefault="003836BE" w:rsidP="003836BE"/>
    <w:sectPr w:rsidR="003836BE" w:rsidRPr="00D9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2ED5" w14:textId="77777777" w:rsidR="00C13712" w:rsidRDefault="00C13712" w:rsidP="00D942DD">
      <w:r>
        <w:separator/>
      </w:r>
    </w:p>
  </w:endnote>
  <w:endnote w:type="continuationSeparator" w:id="0">
    <w:p w14:paraId="0F789418" w14:textId="77777777" w:rsidR="00C13712" w:rsidRDefault="00C13712" w:rsidP="00D9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34B42" w14:textId="77777777" w:rsidR="00C13712" w:rsidRDefault="00C13712" w:rsidP="00D942DD">
      <w:r>
        <w:separator/>
      </w:r>
    </w:p>
  </w:footnote>
  <w:footnote w:type="continuationSeparator" w:id="0">
    <w:p w14:paraId="7D4F7BF0" w14:textId="77777777" w:rsidR="00C13712" w:rsidRDefault="00C13712" w:rsidP="00D94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C2"/>
    <w:rsid w:val="00182B03"/>
    <w:rsid w:val="003836BE"/>
    <w:rsid w:val="005C7932"/>
    <w:rsid w:val="007351E6"/>
    <w:rsid w:val="00963D9B"/>
    <w:rsid w:val="00C13712"/>
    <w:rsid w:val="00D942DD"/>
    <w:rsid w:val="00E16E51"/>
    <w:rsid w:val="00E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86046"/>
  <w15:chartTrackingRefBased/>
  <w15:docId w15:val="{062432B6-EDDE-4AAF-BCFC-63F7FBB0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42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42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amyzhao@instrnet.com</dc:creator>
  <cp:keywords/>
  <dc:description/>
  <cp:lastModifiedBy>是 是</cp:lastModifiedBy>
  <cp:revision>4</cp:revision>
  <dcterms:created xsi:type="dcterms:W3CDTF">2021-12-07T02:42:00Z</dcterms:created>
  <dcterms:modified xsi:type="dcterms:W3CDTF">2022-11-25T07:49:00Z</dcterms:modified>
</cp:coreProperties>
</file>